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CD2EB7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>
        <w:rPr>
          <w:rFonts w:ascii="Times New Roman" w:hAnsi="Times New Roman" w:cs="Times New Roman"/>
          <w:b/>
          <w:spacing w:val="58"/>
          <w:sz w:val="32"/>
          <w:szCs w:val="32"/>
        </w:rPr>
        <w:t>«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Жиздринский район</w:t>
      </w:r>
      <w:r>
        <w:rPr>
          <w:rFonts w:ascii="Times New Roman" w:hAnsi="Times New Roman" w:cs="Times New Roman"/>
          <w:b/>
          <w:spacing w:val="58"/>
          <w:sz w:val="32"/>
          <w:szCs w:val="32"/>
        </w:rPr>
        <w:t>»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 xml:space="preserve"> Калужской области</w:t>
      </w:r>
    </w:p>
    <w:p w:rsidR="00A31085" w:rsidRPr="005E1736" w:rsidRDefault="00A31085" w:rsidP="00A31085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5E1736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A31085" w:rsidRDefault="00A31085" w:rsidP="007726E9">
      <w:pPr>
        <w:pStyle w:val="a3"/>
        <w:spacing w:after="120"/>
        <w:jc w:val="center"/>
        <w:rPr>
          <w:sz w:val="26"/>
          <w:szCs w:val="26"/>
        </w:rPr>
      </w:pPr>
      <w:r w:rsidRPr="003D680A">
        <w:rPr>
          <w:sz w:val="26"/>
          <w:szCs w:val="26"/>
        </w:rPr>
        <w:t xml:space="preserve">от </w:t>
      </w:r>
      <w:r w:rsidR="005A2247">
        <w:rPr>
          <w:sz w:val="26"/>
          <w:szCs w:val="26"/>
        </w:rPr>
        <w:t>5</w:t>
      </w:r>
      <w:r w:rsidRPr="003D680A">
        <w:rPr>
          <w:sz w:val="26"/>
          <w:szCs w:val="26"/>
        </w:rPr>
        <w:t xml:space="preserve"> </w:t>
      </w:r>
      <w:r w:rsidR="00BA1796">
        <w:rPr>
          <w:sz w:val="26"/>
          <w:szCs w:val="26"/>
        </w:rPr>
        <w:t>декабря</w:t>
      </w:r>
      <w:r w:rsidR="007726E9">
        <w:rPr>
          <w:sz w:val="26"/>
          <w:szCs w:val="26"/>
        </w:rPr>
        <w:t xml:space="preserve"> </w:t>
      </w:r>
      <w:r w:rsidR="004A46DD">
        <w:rPr>
          <w:sz w:val="26"/>
          <w:szCs w:val="26"/>
        </w:rPr>
        <w:t>2023</w:t>
      </w:r>
      <w:r w:rsidRPr="003D680A">
        <w:rPr>
          <w:sz w:val="26"/>
          <w:szCs w:val="26"/>
        </w:rPr>
        <w:t xml:space="preserve"> г.</w:t>
      </w:r>
      <w:r w:rsidR="00CD2EB7">
        <w:rPr>
          <w:sz w:val="26"/>
          <w:szCs w:val="26"/>
        </w:rPr>
        <w:t xml:space="preserve"> </w:t>
      </w:r>
      <w:r w:rsidR="005A2247">
        <w:rPr>
          <w:sz w:val="26"/>
          <w:szCs w:val="26"/>
        </w:rPr>
        <w:t xml:space="preserve">                                                                   </w:t>
      </w:r>
      <w:r w:rsidR="00CD2EB7">
        <w:rPr>
          <w:sz w:val="26"/>
          <w:szCs w:val="26"/>
        </w:rPr>
        <w:t xml:space="preserve">  </w:t>
      </w:r>
      <w:r w:rsidR="005A2247">
        <w:rPr>
          <w:sz w:val="26"/>
          <w:szCs w:val="26"/>
        </w:rPr>
        <w:t xml:space="preserve">           </w:t>
      </w:r>
      <w:r w:rsidR="00CD2EB7">
        <w:rPr>
          <w:sz w:val="26"/>
          <w:szCs w:val="26"/>
        </w:rPr>
        <w:t xml:space="preserve">  </w:t>
      </w:r>
      <w:r w:rsidRPr="003D680A">
        <w:rPr>
          <w:sz w:val="26"/>
          <w:szCs w:val="26"/>
        </w:rPr>
        <w:t xml:space="preserve">№ </w:t>
      </w:r>
      <w:r w:rsidR="00BA1796">
        <w:rPr>
          <w:sz w:val="26"/>
          <w:szCs w:val="26"/>
        </w:rPr>
        <w:t>7</w:t>
      </w:r>
      <w:r w:rsidR="00CD2EB7">
        <w:rPr>
          <w:sz w:val="26"/>
          <w:szCs w:val="26"/>
        </w:rPr>
        <w:t>1</w:t>
      </w:r>
    </w:p>
    <w:p w:rsidR="005778FF" w:rsidRPr="00E12560" w:rsidRDefault="005778FF" w:rsidP="00926366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172F85" w:rsidRPr="00016258" w:rsidRDefault="00172F85" w:rsidP="00D107BB">
      <w:pPr>
        <w:spacing w:after="0"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CD2EB7" w:rsidRPr="005A2247" w:rsidRDefault="00CD2EB7" w:rsidP="005A224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5A2247">
        <w:rPr>
          <w:rFonts w:ascii="Times New Roman" w:hAnsi="Times New Roman" w:cs="Times New Roman"/>
          <w:b/>
          <w:sz w:val="32"/>
          <w:szCs w:val="26"/>
        </w:rPr>
        <w:t xml:space="preserve">О бюджете </w:t>
      </w:r>
      <w:proofErr w:type="gramStart"/>
      <w:r w:rsidRPr="005A2247">
        <w:rPr>
          <w:rFonts w:ascii="Times New Roman" w:hAnsi="Times New Roman" w:cs="Times New Roman"/>
          <w:b/>
          <w:sz w:val="32"/>
          <w:szCs w:val="26"/>
        </w:rPr>
        <w:t>муниципального</w:t>
      </w:r>
      <w:proofErr w:type="gramEnd"/>
      <w:r w:rsidRPr="005A2247">
        <w:rPr>
          <w:rFonts w:ascii="Times New Roman" w:hAnsi="Times New Roman" w:cs="Times New Roman"/>
          <w:b/>
          <w:sz w:val="32"/>
          <w:szCs w:val="26"/>
        </w:rPr>
        <w:t xml:space="preserve"> </w:t>
      </w:r>
      <w:bookmarkStart w:id="0" w:name="_GoBack"/>
      <w:bookmarkEnd w:id="0"/>
      <w:r w:rsidRPr="005A2247">
        <w:rPr>
          <w:rFonts w:ascii="Times New Roman" w:hAnsi="Times New Roman" w:cs="Times New Roman"/>
          <w:b/>
          <w:sz w:val="32"/>
          <w:szCs w:val="26"/>
        </w:rPr>
        <w:t>района «Жиздринский район» на 2024 год и плановый</w:t>
      </w:r>
      <w:r w:rsidR="005A2247" w:rsidRPr="005A2247">
        <w:rPr>
          <w:rFonts w:ascii="Times New Roman" w:hAnsi="Times New Roman" w:cs="Times New Roman"/>
          <w:b/>
          <w:sz w:val="32"/>
          <w:szCs w:val="26"/>
        </w:rPr>
        <w:t xml:space="preserve"> период 2025-2026 годов</w:t>
      </w:r>
    </w:p>
    <w:p w:rsidR="00172F85" w:rsidRPr="00016258" w:rsidRDefault="00172F85" w:rsidP="00306C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6"/>
          <w:szCs w:val="6"/>
        </w:rPr>
      </w:pPr>
    </w:p>
    <w:p w:rsidR="001A2CAB" w:rsidRDefault="001A2CAB" w:rsidP="00306C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1. Основные характеристики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бюджета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на 2024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и плановый период 2025-2026 годов.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1.Утвердить основные характеристики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бюджета муниципального района на 2024 год: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общий объем доходов бюджета муниципального района в сумме 507 123 253,45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рубля, в том числе объем безвозмездных поступлений в сумме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382 523 580,45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объем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сумме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535 123 253,45 рубля;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объем бюджетных ассигнований Дорожного фонда муниципального района в сумме 10 443 673 рубля;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нормативную величину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резервного фонда администрации муниципального района в сумме 100 000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верхний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предел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долга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2025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сумме 0 рублей, в 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числе верхний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предел долга по муниципальным гарантиям 0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дефицит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бюджета муниципального района в сумме 28 000 000 рублей.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муниципального района на 2025 год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2026 год: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объем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доходов бюджета муниципального района на 2025 год в сумме 503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D2EB7">
        <w:rPr>
          <w:rFonts w:ascii="Times New Roman" w:hAnsi="Times New Roman" w:cs="Times New Roman"/>
          <w:sz w:val="26"/>
          <w:szCs w:val="26"/>
        </w:rPr>
        <w:t>359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D2EB7">
        <w:rPr>
          <w:rFonts w:ascii="Times New Roman" w:hAnsi="Times New Roman" w:cs="Times New Roman"/>
          <w:sz w:val="26"/>
          <w:szCs w:val="26"/>
        </w:rPr>
        <w:t>267,32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рублей, в том числе безвозмездные поступления в сумме 367 863 823,32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рубля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и на 2026 год в сумме 474 186 960,86 рублей, в том числе безвозмездные поступления в сумме 332 793 336,86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общий объем расходов бюджета муниципального района на 2025 год в сумме 503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D2EB7">
        <w:rPr>
          <w:rFonts w:ascii="Times New Roman" w:hAnsi="Times New Roman" w:cs="Times New Roman"/>
          <w:sz w:val="26"/>
          <w:szCs w:val="26"/>
        </w:rPr>
        <w:t>359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D2EB7">
        <w:rPr>
          <w:rFonts w:ascii="Times New Roman" w:hAnsi="Times New Roman" w:cs="Times New Roman"/>
          <w:sz w:val="26"/>
          <w:szCs w:val="26"/>
        </w:rPr>
        <w:t>267,32 рубля, в том числе условно утверждаемые расходы в сумме 5 571 250 рублей и на 2026 год в сумме 474 186 960,86 рублей, в том числе условно утверждаемые расходы в сумме 11 232 550 рублей.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объем бюджетных ассигнований Дорожного фонда муниципального района на 2025 год в сумме 10 913 644 рублей и на 2026 год в сумме 11 145 324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lastRenderedPageBreak/>
        <w:t>нормативную величину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резервного фонда администрации муниципального района на 2025 год в сумме 100 000 рублей и на 2026 год в сумме 100 000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верхний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предел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долга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2026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сумме 0 рублей, в 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числе верхний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предел долга по муниципальным гарантиям 0 рублей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на 1 января 2027 года в сумме 0 рублей, в 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числе верхний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предел долга по муниципальным гарантиям 0 рублей;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дефицит (профицит) бюджета муниципального района на 2025 и 2026 года отсутствует.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2. Нормативы распределения доходов.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2EB7">
        <w:rPr>
          <w:rFonts w:ascii="Times New Roman" w:hAnsi="Times New Roman" w:cs="Times New Roman"/>
          <w:sz w:val="26"/>
          <w:szCs w:val="26"/>
        </w:rPr>
        <w:t>В соответствии с пунктом 2 статьи 184.1 Бюджетного Кодекса Российской Федерации утвердить нормативы распределения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доходов между бюджетом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бюджетами городского и сельских поселений, нормативы по которым не установлены бюджетным законодательством Российской Федерации, на 2024 год и плановый период 2025 и 2026 годов согласно </w:t>
      </w:r>
      <w:hyperlink r:id="rId10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1 к настоящему Решению.</w:t>
      </w:r>
      <w:proofErr w:type="gramEnd"/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3. Доходы бюджета муниципального района на 2024 год и плановый период 2025-2026 годов.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1. Установить, что доходы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– платы за негативное воздействие на окружающую среду направляются на цели, предусмотренные пунктом 1 статьи 16.6 Федерального закона от 10.01.2002 № 7-ФЗ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– административных штрафов за административные правонарушения в области охраны окружающей среды и природопользования направляются на цели, предусмотренные пунктом 1 статьи 75.1 Федерального закона от 10.01.2002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№ 7-ФЗ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–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цели, предусмотренные пунктом 1 статьи 78.2 Федерального закона от 10.01.2002 № 7-ФЗ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2. Учесть в доходах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района объемы межбюджетных трансфертов, предоставляемых бюджету Жиздринского района на 2024 год и плановый период 2025 и 2026 годов согласно </w:t>
      </w:r>
      <w:hyperlink r:id="rId11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2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3.Учесть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2024 год и плановый период 2025 и 2026 годов согласно </w:t>
      </w:r>
      <w:hyperlink r:id="rId12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3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4. Бюджетные ассигнования бюджета муниципального района на 2024 год и плановый период 2025-2026 годов.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lastRenderedPageBreak/>
        <w:t xml:space="preserve">1.Утвердить распределение бюджетных ассигнований бюджета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по разделам и подразделам классификации 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на 2024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и плановый период 2025 и 2026 годов - согласно </w:t>
      </w:r>
      <w:hyperlink r:id="rId13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4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2. Утвердить ведомственную структуру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расходов бюджета муниципального района: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на 2024 год - согласно </w:t>
      </w:r>
      <w:hyperlink r:id="rId14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5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на плановый период 2025 и 2026 годов - согласно </w:t>
      </w:r>
      <w:hyperlink r:id="rId15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6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3. Утвердить в составе ведомственной структуры расходов бюджета муниципального района перечень главных распорядителей средств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бюджета муниципального района разделов, подразделов, целевых статей (государственных программ и непрограммных направлений деятельности), групп и подгрупп видов расходов бюджета муниципального района: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на 2024 год - согласно </w:t>
      </w:r>
      <w:hyperlink r:id="rId16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5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на плановый период 2025 и 2026 годов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 согласно </w:t>
      </w:r>
      <w:hyperlink r:id="rId17" w:history="1">
        <w:r w:rsidR="006F15A9"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="006F15A9" w:rsidRPr="00CD2EB7">
        <w:rPr>
          <w:rFonts w:ascii="Times New Roman" w:hAnsi="Times New Roman" w:cs="Times New Roman"/>
          <w:sz w:val="26"/>
          <w:szCs w:val="26"/>
        </w:rPr>
        <w:t xml:space="preserve"> 6</w:t>
      </w:r>
      <w:r w:rsidRPr="00CD2EB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4.Утвердить распределение бюджетных ассигнований бюджета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на 2024 год - согласно </w:t>
      </w:r>
      <w:hyperlink r:id="rId18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7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на плановый период 2025 и 2026 годов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 согласно </w:t>
      </w:r>
      <w:hyperlink r:id="rId19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8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5. Утвердить распределение бюджетных ассигнований бюджета муниципального района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на 2024 год - согласно </w:t>
      </w:r>
      <w:hyperlink r:id="rId20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9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на плановый период 2025 и 2026 годов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 согласно </w:t>
      </w:r>
      <w:hyperlink r:id="rId21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10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6. Утвердить общий объем бюджетных ассигнований на исполнение публичных нормативных обязательств на 2024 год в сумме 36 053 687 рублей, на 2025 год в сумме 28 357 230 рублей, на 2026 год в сумме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22 570 456 рублей.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Статья 5. Особенности использования бюджетных ассигнований по обеспечению деятельности органов местного самоуправления.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Установить уровень размеров должностных окладов по муниципальным должностям муниципального района и окладов денежного содержания по должностям муниципальной службы муниципального района на уровне, сложившемся на 1 января 2024 года.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6. Особенности использования бюджетных ассигнований в сфере общегосударственных вопросов, национальной экономики, благоустройства.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</w:t>
      </w:r>
      <w:proofErr w:type="gramEnd"/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2EB7">
        <w:rPr>
          <w:rFonts w:ascii="Times New Roman" w:hAnsi="Times New Roman" w:cs="Times New Roman"/>
          <w:sz w:val="26"/>
          <w:szCs w:val="26"/>
        </w:rPr>
        <w:lastRenderedPageBreak/>
        <w:t>в пунктах 6 - 8.1 статьи 78 Бюджетного кодекса Российской Федерации), индивидуальным предпринимателям, а также физическим лицам – производителям товаров, работ, услуг, а также некоммерческим организациям, не являющимся государственными (муниципальными) учреждениями, предоставляются в случаях, если расходы на их предоставление предусмотрены в ведомственной структуре расходов бюджета муниципального района на 2024 год (</w:t>
      </w:r>
      <w:hyperlink r:id="rId22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приложение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№ 5 к настоящему Решению) и (или) на плановый период 2025 и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2026 годов (</w:t>
      </w:r>
      <w:hyperlink r:id="rId23" w:history="1">
        <w:r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приложение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№ 6 к настоящему Решению), или в изменениях сводной бюджетной росписи расходов бюджета муниципального района.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2. Бюджетные ассигнования на предоставление субсидий, указанных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в пунктах 6 - 8.1 статьи 78, в пункте 4 статьи 78.1 Бюджетного кодекса Российской Федерации, предусматриваются в ведомственной структуре расходов бюджета муниципального района на 2024 год (</w:t>
      </w:r>
      <w:hyperlink r:id="rId24" w:history="1">
        <w:r w:rsidR="006F15A9"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приложение</w:t>
        </w:r>
      </w:hyperlink>
      <w:r w:rsidR="006F15A9" w:rsidRPr="00CD2EB7">
        <w:rPr>
          <w:rFonts w:ascii="Times New Roman" w:hAnsi="Times New Roman" w:cs="Times New Roman"/>
          <w:sz w:val="26"/>
          <w:szCs w:val="26"/>
        </w:rPr>
        <w:t xml:space="preserve"> № 5</w:t>
      </w:r>
      <w:r w:rsidRPr="00CD2EB7">
        <w:rPr>
          <w:rFonts w:ascii="Times New Roman" w:hAnsi="Times New Roman" w:cs="Times New Roman"/>
          <w:sz w:val="26"/>
          <w:szCs w:val="26"/>
        </w:rPr>
        <w:t>к настоящему Решению) и (или) на плановый период 2025 и 2026 годов (</w:t>
      </w:r>
      <w:hyperlink r:id="rId25" w:history="1">
        <w:r w:rsidR="006F15A9" w:rsidRPr="006F15A9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приложение</w:t>
        </w:r>
      </w:hyperlink>
      <w:r w:rsidR="006F15A9" w:rsidRPr="00CD2EB7">
        <w:rPr>
          <w:rFonts w:ascii="Times New Roman" w:hAnsi="Times New Roman" w:cs="Times New Roman"/>
          <w:sz w:val="26"/>
          <w:szCs w:val="26"/>
        </w:rPr>
        <w:t xml:space="preserve"> № 6</w:t>
      </w:r>
      <w:r w:rsidR="006F15A9"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к настоящему Решению), или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в изменениях сводной бюджетной росписи расходов бюджета муниципального района.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3.Установить, что через администрацию (исполнительно-распорядительный орган)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осуществляется финансирование расходов: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  <w:proofErr w:type="spellStart"/>
      <w:r w:rsidRPr="00CD2EB7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D2EB7">
        <w:rPr>
          <w:rFonts w:ascii="Times New Roman" w:hAnsi="Times New Roman" w:cs="Times New Roman"/>
          <w:sz w:val="26"/>
          <w:szCs w:val="26"/>
        </w:rPr>
        <w:t xml:space="preserve">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Профилактика правонарушений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Обеспечение безопасности жизнедеятельности населения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транспортного обслуживания на территории Жиздринского района Калужской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дорожного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хозяйства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предпринимательства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Молодежь Жиздринского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Обеспечение жильем молодых семей в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Закрепление кадров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Укрепление общественного здоровья в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хозяйства и рынков сельскохозяйственной продукции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культуры Жиздринского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Поддержка развития российского казачества на территории Жиздринского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4.Установить, что через отдел финансов администрации (исполнительно-распорядительного органа)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осуществляется финансирование расходов: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-по ведомственной целевой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Совершенствование системы управления общественными финансами Жиздринского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,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5. Поступившие в бюджет муниципального района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доходы, предусмотренные пунктом 1 статьи 3 настоящего Решения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носят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целевой характер и используются в соответствии с планом мероприятий, утвержденным уполномоченным органом исполнительной власти Калужской области.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7. Особенности использования бюджетных ассигнований в сфере образования.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Установить, что через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отдел образования администрации (исполнительно-распорядительный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орган)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осуществляется финансирование расходов: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образования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  <w:proofErr w:type="spellStart"/>
      <w:r w:rsidRPr="00CD2EB7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D2EB7">
        <w:rPr>
          <w:rFonts w:ascii="Times New Roman" w:hAnsi="Times New Roman" w:cs="Times New Roman"/>
          <w:sz w:val="26"/>
          <w:szCs w:val="26"/>
        </w:rPr>
        <w:t xml:space="preserve"> в Жиздринском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Реализация мероприятий активной политики в области обеспечения занятости населения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физической культуры и спорта в Жиздринском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8. Особенности использования бюджетных ассигнований в сфере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культуры.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Установить, что через отдел культуры администрации (исполнительно-распорядительного органа)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осуществляется финансирование расходов: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культуры Жиздринского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Развитие туризма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9. Особенности использования бюджетных ассигнований в сфере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социальной политики.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1. Установить, что через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отдел социальной защиты населения администрации (исполнительно-распорядительного органа)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осуществляется финансирование расходов: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Семья и дети Жиздринского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-по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Социальная поддержка граждан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по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Доступная среда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,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10. Межбюджетные трансферты</w:t>
      </w:r>
    </w:p>
    <w:p w:rsidR="0026502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1.Утвердить распределение межбюджетных трансфертов бюджетам поселений Жиздринского района на 2024 год и плановый период 2025-2026 годов согласно </w:t>
      </w:r>
      <w:hyperlink r:id="rId26" w:history="1">
        <w:r w:rsidRPr="00265027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11 к настоящему Решению;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2.Установить на 2024 год в качестве критерия выравнивания финансовых возможностей городских и сельских поселений уровень равный 0,484 для городского поселения и уровень равный 1,722 для сельских поселений.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11.Источники финансирования дефицита бюджета муниципального района.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Утвердить источники финансирования дефицита бюджета муниципального района на 2024 год и плановый период 2025-2026 годов согласно </w:t>
      </w:r>
      <w:hyperlink r:id="rId27" w:history="1">
        <w:r w:rsidRPr="00265027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12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 xml:space="preserve">Статья 12.Муниципальные внутренние заимствования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на 2024 год и плановый период 2025-2026 годов согласно </w:t>
      </w:r>
      <w:hyperlink r:id="rId28" w:history="1">
        <w:r w:rsidRPr="00265027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приложению</w:t>
        </w:r>
      </w:hyperlink>
      <w:r w:rsidRPr="00CD2EB7">
        <w:rPr>
          <w:rFonts w:ascii="Times New Roman" w:hAnsi="Times New Roman" w:cs="Times New Roman"/>
          <w:sz w:val="26"/>
          <w:szCs w:val="26"/>
        </w:rPr>
        <w:t xml:space="preserve"> 13 к настоящему Решению.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Статья 13. Особенности использования средств, предоставляемых отдельным юридическим лицам и индивидуальным предпринимателям, в 2024 году.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1. Установить, что в 2024 году отдел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финансов (исполнительно-распорядительный орган)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 xml:space="preserve"> осуществляет казначейское сопровождение сре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дств в сл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учаях, указанных в части 2 настоящей статьи.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2. Казначейскому сопровождению подлежат следующие целевые средства: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1) субсидии юридическим лицам (за исключением субсидий государственным учреждениям) индивидуальным предпринимателям, физическим лицам,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случае, если указанные средства перечисляются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условиями договоров (соглашений) о предоставлении субсидий в порядке финансового обеспечения затрат на сумму 50 000, 0 тыс. рублей и более;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2) субсидии и (или) бюджетные инвестиции в объекты муниципальной собственности Жиздринского района и юридическим лицам, иные формы направления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бюджетных средств, в соответствии с бюджетным законодательством Российской Федерации в случае, </w:t>
      </w:r>
      <w:r w:rsidRPr="00CD2EB7">
        <w:rPr>
          <w:rFonts w:ascii="Times New Roman" w:hAnsi="Times New Roman" w:cs="Times New Roman"/>
          <w:sz w:val="26"/>
          <w:szCs w:val="26"/>
        </w:rPr>
        <w:lastRenderedPageBreak/>
        <w:t xml:space="preserve">если указанные средства перечисляются на осуществление капитальных вложений на сумму 50 000,0 тыс. рублей и более;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50 000, 0 тыс. рублей и более;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пункте 3 настоящей части;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5)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субсидий, указанных в пункте 1 настоящей части;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6)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субсидии и (или) бюджетных инвестиций в объекты муниципальной собственности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указанных в пункте 2 настоящей части;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7)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бюджетных инвестиций, указанных в пункте 3 настоящей части;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8)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взносов, указанных в пункте 4 настоящей части;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9) авансовые платежи и расчеты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5-8 настоящей части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контрактов (договоров) о поставке товаров, выполнении работ, оказании услуг;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10) авансовые платежи по государственным контрактам (договорам) о поставке товаров, выполнении работ, оказании услуг, заключенным после 1 января 2024 года в случаях, если сумма государственного контракта (договора) превышает 50 000,0 тыс. рублей;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11) авансовые платежи по контрактам (договорам) о поставке товаров, выполнении работ, оказании услуг, заключаемым на сумму 5 000 тыс. рублей и более исполнителями и соисполнителями в рамках исполнения указанных в пункте 10 настоящей части государственных контрактов (договоров) о поставке товаров, выполнении работ, оказании услуг.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14. Бюджетные полномочия отдела финансов администрации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1.Установить дополнительные основания для внесения изменений в сводную бюджетную роспись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 xml:space="preserve">без внесения изменений в настоящее Решение в соответствии с решениями руководителя отдела финансов администрации (исполнительно-распорядительного органа)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Жиздринский район: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случае изменения типа и организационно-правовой формы муниципальных учреждений;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 -в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случае перераспределения межбюджетных трансфертов по основаниям, предусмотренным законодательством;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-в случае изменения состава (структуры) главных распорядителей средств бюджета (подведомственных им учреждений);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межбюджетных трансфертов между муниципальными образованиями муниципального района по основаниям, предусмотренным законодательством;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 между главными распорядителями средств местного бюджета на осуществление переданных полномочий Российской Федерации;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-в части перераспределения бюджетных ассигнований, предусмотренных главным распорядителям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 на исполнение публичных нормативных обязатель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ств в сл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>учае возникновения необходимости в вышеуказанных средствах;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 в рамках реализации муниципальных программ и ведомственных целевых программ, а также других мероприятий между исполнителями этих мероприятий и (или) по кодам классификации 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бюджета;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увеличения бюджетных ассигнований на сумму доходов от оказания платных услуг (работ) и компенсации затрат бюджетов, полученных сверх сумм учтенных настоящим Решением;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ассигнований, предусмотренных главным распорядителям средств местного бюджета на предоставление бюджетным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ассигнований, предусмотренных по главным распорядителям средств местного бюджета, на финансирование неоплаченных обязательств, образовавшихся на 1 января 2024 года, перед поставщиками товаров, работ и услуг на основании муниципальных контрактов;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lastRenderedPageBreak/>
        <w:t>-в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перераспределения бюджетных ассигнований Дорожного фонда муниципального района по кодам классификации расходов бюджета;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-в части увеличения бюджетных ассигнований на сумму не использованных по состоянию на 1 января 2024 года остатков средств Дорожного фонда муниципального района;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2EB7">
        <w:rPr>
          <w:rFonts w:ascii="Times New Roman" w:hAnsi="Times New Roman" w:cs="Times New Roman"/>
          <w:sz w:val="26"/>
          <w:szCs w:val="26"/>
        </w:rPr>
        <w:t>-в части увеличения бюджетных ассигнований на сумму не использованных по состоянию на 1 января 2024 года поступивших, начиная с 01.09.2022 года, от платы за негативное воздействие на окружающую среду,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</w:t>
      </w:r>
      <w:proofErr w:type="gramEnd"/>
      <w:r w:rsidRPr="00CD2E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 xml:space="preserve">добровольном возмещении вреда, причиненного окружающей среде вследствие нарушений обязательных требований, и не использованных на цели, предусмотренные пунктом 1 статьи 16.6, пунктом 1 статьи 75.1, пунктом 1 статьи 78.2 Федерального закона от 10.01.2002 № 7-ФЗ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2EB7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2EB7">
        <w:rPr>
          <w:rFonts w:ascii="Times New Roman" w:hAnsi="Times New Roman" w:cs="Times New Roman"/>
          <w:sz w:val="26"/>
          <w:szCs w:val="26"/>
        </w:rPr>
        <w:t>, для последующего использования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те же цели;</w:t>
      </w:r>
      <w:proofErr w:type="gramEnd"/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2EB7">
        <w:rPr>
          <w:rFonts w:ascii="Times New Roman" w:hAnsi="Times New Roman" w:cs="Times New Roman"/>
          <w:sz w:val="26"/>
          <w:szCs w:val="26"/>
        </w:rPr>
        <w:t xml:space="preserve">- в части увеличения бюджетных ассигнований по кодам классификации расходов бюджета на сумму средств, необходимых для выполнения условий </w:t>
      </w:r>
      <w:proofErr w:type="spellStart"/>
      <w:r w:rsidRPr="00CD2E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D2EB7">
        <w:rPr>
          <w:rFonts w:ascii="Times New Roman" w:hAnsi="Times New Roman" w:cs="Times New Roman"/>
          <w:sz w:val="26"/>
          <w:szCs w:val="26"/>
        </w:rPr>
        <w:t xml:space="preserve"> по государственным программам и межбюджетным субсидиям, предоставляемым из федерального и областного бюджетов, в том числе путем введения новых кодов классификации расходов бюджета в случае необходимости выполнения условий </w:t>
      </w:r>
      <w:proofErr w:type="spellStart"/>
      <w:r w:rsidRPr="00CD2EB7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D2EB7">
        <w:rPr>
          <w:rFonts w:ascii="Times New Roman" w:hAnsi="Times New Roman" w:cs="Times New Roman"/>
          <w:sz w:val="26"/>
          <w:szCs w:val="26"/>
        </w:rPr>
        <w:t xml:space="preserve"> по государственным программам и межбюджетным субсидиям;</w:t>
      </w:r>
      <w:proofErr w:type="gramEnd"/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-по обращениям главных распорядителей средств местного бюджета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об изменении наименования целевой статьи расходов;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CD2EB7">
        <w:rPr>
          <w:rFonts w:ascii="Times New Roman" w:hAnsi="Times New Roman" w:cs="Times New Roman"/>
          <w:sz w:val="26"/>
          <w:szCs w:val="26"/>
        </w:rPr>
        <w:t>Установить с 1 января 2024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муниципальных органов, замещающих должности, не являющиеся должностями муниципальной службы, работников, осуществляющих профессиональную деятельность по должностям служащих и по профессиям рабочих и работников муниципальных учреждений, сложившихся на 1 января 2024 года, в размере 4,5 процента.</w:t>
      </w:r>
      <w:proofErr w:type="gramEnd"/>
    </w:p>
    <w:p w:rsid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2EB7" w:rsidRPr="00CD2EB7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2EB7">
        <w:rPr>
          <w:rFonts w:ascii="Times New Roman" w:hAnsi="Times New Roman" w:cs="Times New Roman"/>
          <w:sz w:val="26"/>
          <w:szCs w:val="26"/>
        </w:rPr>
        <w:t>Статья 15. Заключительные положения.</w:t>
      </w:r>
    </w:p>
    <w:p w:rsidR="004C76C5" w:rsidRDefault="00CD2EB7" w:rsidP="00CD2EB7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2EB7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2024 года.</w:t>
      </w:r>
      <w:r w:rsidR="00850471">
        <w:rPr>
          <w:rFonts w:ascii="Times New Roman" w:hAnsi="Times New Roman"/>
          <w:sz w:val="26"/>
          <w:szCs w:val="26"/>
        </w:rPr>
        <w:t xml:space="preserve"> </w:t>
      </w:r>
    </w:p>
    <w:p w:rsidR="004C76C5" w:rsidRPr="00016258" w:rsidRDefault="004C76C5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D31F1" w:rsidRPr="00016258" w:rsidRDefault="00114BF6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16258">
        <w:rPr>
          <w:rFonts w:ascii="Times New Roman" w:hAnsi="Times New Roman"/>
          <w:b/>
          <w:sz w:val="26"/>
          <w:szCs w:val="26"/>
        </w:rPr>
        <w:t xml:space="preserve">Глава </w:t>
      </w:r>
      <w:proofErr w:type="gramStart"/>
      <w:r w:rsidRPr="00016258"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  <w:r w:rsidRPr="00016258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114BF6" w:rsidRPr="00016258" w:rsidRDefault="00CD2EB7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114BF6" w:rsidRPr="00016258">
        <w:rPr>
          <w:rFonts w:ascii="Times New Roman" w:hAnsi="Times New Roman"/>
          <w:b/>
          <w:sz w:val="26"/>
          <w:szCs w:val="26"/>
        </w:rPr>
        <w:t>Жиздринский район</w:t>
      </w:r>
      <w:r>
        <w:rPr>
          <w:rFonts w:ascii="Times New Roman" w:hAnsi="Times New Roman"/>
          <w:b/>
          <w:sz w:val="26"/>
          <w:szCs w:val="26"/>
        </w:rPr>
        <w:t xml:space="preserve">»                                                                </w:t>
      </w:r>
      <w:r w:rsidR="00114BF6" w:rsidRPr="00016258">
        <w:rPr>
          <w:rFonts w:ascii="Times New Roman" w:hAnsi="Times New Roman"/>
          <w:b/>
          <w:sz w:val="26"/>
          <w:szCs w:val="26"/>
        </w:rPr>
        <w:t>М.С. Куренкова</w:t>
      </w:r>
    </w:p>
    <w:sectPr w:rsidR="00114BF6" w:rsidRPr="00016258" w:rsidSect="0001625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709" w:right="61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13" w:rsidRDefault="006F4213" w:rsidP="00AE39FC">
      <w:pPr>
        <w:spacing w:after="0" w:line="240" w:lineRule="auto"/>
      </w:pPr>
      <w:r>
        <w:separator/>
      </w:r>
    </w:p>
  </w:endnote>
  <w:endnote w:type="continuationSeparator" w:id="0">
    <w:p w:rsidR="006F4213" w:rsidRDefault="006F4213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13" w:rsidRDefault="006F4213" w:rsidP="00AE39FC">
      <w:pPr>
        <w:spacing w:after="0" w:line="240" w:lineRule="auto"/>
      </w:pPr>
      <w:r>
        <w:separator/>
      </w:r>
    </w:p>
  </w:footnote>
  <w:footnote w:type="continuationSeparator" w:id="0">
    <w:p w:rsidR="006F4213" w:rsidRDefault="006F4213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537B"/>
    <w:rsid w:val="00006880"/>
    <w:rsid w:val="0001152F"/>
    <w:rsid w:val="00013EB0"/>
    <w:rsid w:val="00016258"/>
    <w:rsid w:val="000165C1"/>
    <w:rsid w:val="00027816"/>
    <w:rsid w:val="00027D1D"/>
    <w:rsid w:val="0003197F"/>
    <w:rsid w:val="00033A9F"/>
    <w:rsid w:val="00036F4C"/>
    <w:rsid w:val="0003710B"/>
    <w:rsid w:val="00041498"/>
    <w:rsid w:val="0005351A"/>
    <w:rsid w:val="00053F70"/>
    <w:rsid w:val="00057FAF"/>
    <w:rsid w:val="00063E7D"/>
    <w:rsid w:val="00072B1D"/>
    <w:rsid w:val="000860B7"/>
    <w:rsid w:val="00087C30"/>
    <w:rsid w:val="00093F2A"/>
    <w:rsid w:val="0009440A"/>
    <w:rsid w:val="000C2734"/>
    <w:rsid w:val="000C2E36"/>
    <w:rsid w:val="000C3836"/>
    <w:rsid w:val="000C46FA"/>
    <w:rsid w:val="000C494B"/>
    <w:rsid w:val="000C5370"/>
    <w:rsid w:val="000D5A11"/>
    <w:rsid w:val="000E095C"/>
    <w:rsid w:val="000F225E"/>
    <w:rsid w:val="000F494C"/>
    <w:rsid w:val="000F5978"/>
    <w:rsid w:val="00101422"/>
    <w:rsid w:val="00104605"/>
    <w:rsid w:val="00114BF6"/>
    <w:rsid w:val="001167A2"/>
    <w:rsid w:val="00123919"/>
    <w:rsid w:val="00134FA1"/>
    <w:rsid w:val="00137F1D"/>
    <w:rsid w:val="001400B0"/>
    <w:rsid w:val="0014206A"/>
    <w:rsid w:val="00156D3E"/>
    <w:rsid w:val="0015746C"/>
    <w:rsid w:val="001674E3"/>
    <w:rsid w:val="00170D2E"/>
    <w:rsid w:val="00171EFA"/>
    <w:rsid w:val="00172F85"/>
    <w:rsid w:val="00175656"/>
    <w:rsid w:val="00177ABD"/>
    <w:rsid w:val="00180528"/>
    <w:rsid w:val="00183067"/>
    <w:rsid w:val="00183457"/>
    <w:rsid w:val="0018721E"/>
    <w:rsid w:val="00192B6A"/>
    <w:rsid w:val="00192E45"/>
    <w:rsid w:val="00195E71"/>
    <w:rsid w:val="00197403"/>
    <w:rsid w:val="001A2CAB"/>
    <w:rsid w:val="001A75D1"/>
    <w:rsid w:val="001B115D"/>
    <w:rsid w:val="001B25E9"/>
    <w:rsid w:val="001B3A73"/>
    <w:rsid w:val="001B6A12"/>
    <w:rsid w:val="001C7651"/>
    <w:rsid w:val="001C7E75"/>
    <w:rsid w:val="001E2093"/>
    <w:rsid w:val="001E2176"/>
    <w:rsid w:val="001F7A89"/>
    <w:rsid w:val="00201566"/>
    <w:rsid w:val="002047F6"/>
    <w:rsid w:val="002105C1"/>
    <w:rsid w:val="00211178"/>
    <w:rsid w:val="002231B9"/>
    <w:rsid w:val="00230252"/>
    <w:rsid w:val="00237B1E"/>
    <w:rsid w:val="00237C62"/>
    <w:rsid w:val="00242131"/>
    <w:rsid w:val="0024263C"/>
    <w:rsid w:val="00244EF5"/>
    <w:rsid w:val="00254DCA"/>
    <w:rsid w:val="0026134F"/>
    <w:rsid w:val="00265027"/>
    <w:rsid w:val="002718A1"/>
    <w:rsid w:val="002722D7"/>
    <w:rsid w:val="00274183"/>
    <w:rsid w:val="0028011C"/>
    <w:rsid w:val="002832FE"/>
    <w:rsid w:val="00292254"/>
    <w:rsid w:val="00293724"/>
    <w:rsid w:val="002A1321"/>
    <w:rsid w:val="002A149C"/>
    <w:rsid w:val="002A1F44"/>
    <w:rsid w:val="002A21B2"/>
    <w:rsid w:val="002A770C"/>
    <w:rsid w:val="002A7D6B"/>
    <w:rsid w:val="002B19F1"/>
    <w:rsid w:val="002B5B67"/>
    <w:rsid w:val="002B7A40"/>
    <w:rsid w:val="002C1943"/>
    <w:rsid w:val="002C59EB"/>
    <w:rsid w:val="002C72ED"/>
    <w:rsid w:val="002D750C"/>
    <w:rsid w:val="002E7B8B"/>
    <w:rsid w:val="002F1D15"/>
    <w:rsid w:val="002F1DFB"/>
    <w:rsid w:val="002F363A"/>
    <w:rsid w:val="002F6A00"/>
    <w:rsid w:val="002F718D"/>
    <w:rsid w:val="002F75C1"/>
    <w:rsid w:val="00300984"/>
    <w:rsid w:val="00301A55"/>
    <w:rsid w:val="00302482"/>
    <w:rsid w:val="00303F88"/>
    <w:rsid w:val="003059FA"/>
    <w:rsid w:val="00306CF9"/>
    <w:rsid w:val="00310222"/>
    <w:rsid w:val="00313E4E"/>
    <w:rsid w:val="00314027"/>
    <w:rsid w:val="003174EB"/>
    <w:rsid w:val="00320C91"/>
    <w:rsid w:val="003261AB"/>
    <w:rsid w:val="003264C2"/>
    <w:rsid w:val="0032663C"/>
    <w:rsid w:val="00326DE3"/>
    <w:rsid w:val="0032733B"/>
    <w:rsid w:val="00334E24"/>
    <w:rsid w:val="003410CB"/>
    <w:rsid w:val="00350398"/>
    <w:rsid w:val="00350AB4"/>
    <w:rsid w:val="00352172"/>
    <w:rsid w:val="00355040"/>
    <w:rsid w:val="0036136C"/>
    <w:rsid w:val="003646B9"/>
    <w:rsid w:val="00365B18"/>
    <w:rsid w:val="00366250"/>
    <w:rsid w:val="0036639C"/>
    <w:rsid w:val="003676A0"/>
    <w:rsid w:val="003679D8"/>
    <w:rsid w:val="00371F97"/>
    <w:rsid w:val="00374F50"/>
    <w:rsid w:val="00376D5E"/>
    <w:rsid w:val="00377212"/>
    <w:rsid w:val="00385550"/>
    <w:rsid w:val="003900F7"/>
    <w:rsid w:val="00392FB1"/>
    <w:rsid w:val="003962E4"/>
    <w:rsid w:val="003A0BE3"/>
    <w:rsid w:val="003A1B10"/>
    <w:rsid w:val="003A37A8"/>
    <w:rsid w:val="003A4324"/>
    <w:rsid w:val="003A59A1"/>
    <w:rsid w:val="003A7BED"/>
    <w:rsid w:val="003B4B80"/>
    <w:rsid w:val="003C0469"/>
    <w:rsid w:val="003C1CA7"/>
    <w:rsid w:val="003C44D1"/>
    <w:rsid w:val="003C648E"/>
    <w:rsid w:val="003C7F9F"/>
    <w:rsid w:val="003D0B8E"/>
    <w:rsid w:val="003D680A"/>
    <w:rsid w:val="003E0289"/>
    <w:rsid w:val="003E0984"/>
    <w:rsid w:val="003E4AEB"/>
    <w:rsid w:val="003E616A"/>
    <w:rsid w:val="0040249B"/>
    <w:rsid w:val="00402A1B"/>
    <w:rsid w:val="004052CE"/>
    <w:rsid w:val="004078BB"/>
    <w:rsid w:val="00410216"/>
    <w:rsid w:val="00411473"/>
    <w:rsid w:val="00413B8B"/>
    <w:rsid w:val="004154A4"/>
    <w:rsid w:val="0042027A"/>
    <w:rsid w:val="00422EC1"/>
    <w:rsid w:val="00427140"/>
    <w:rsid w:val="0042717E"/>
    <w:rsid w:val="004278F2"/>
    <w:rsid w:val="00435898"/>
    <w:rsid w:val="00435D88"/>
    <w:rsid w:val="004415D4"/>
    <w:rsid w:val="0045002A"/>
    <w:rsid w:val="004511E1"/>
    <w:rsid w:val="004524A6"/>
    <w:rsid w:val="00454813"/>
    <w:rsid w:val="00456F43"/>
    <w:rsid w:val="00463279"/>
    <w:rsid w:val="0046477F"/>
    <w:rsid w:val="004654C2"/>
    <w:rsid w:val="004675D4"/>
    <w:rsid w:val="00471F73"/>
    <w:rsid w:val="00472539"/>
    <w:rsid w:val="00475A32"/>
    <w:rsid w:val="00486C6A"/>
    <w:rsid w:val="004874E3"/>
    <w:rsid w:val="00487E5F"/>
    <w:rsid w:val="00487FC3"/>
    <w:rsid w:val="00494BD8"/>
    <w:rsid w:val="00494F95"/>
    <w:rsid w:val="00495770"/>
    <w:rsid w:val="00495C68"/>
    <w:rsid w:val="004A46DD"/>
    <w:rsid w:val="004A5C0E"/>
    <w:rsid w:val="004A7DF8"/>
    <w:rsid w:val="004B2D20"/>
    <w:rsid w:val="004B71CF"/>
    <w:rsid w:val="004C217A"/>
    <w:rsid w:val="004C76C5"/>
    <w:rsid w:val="004D1A4A"/>
    <w:rsid w:val="004D43AC"/>
    <w:rsid w:val="004E31F3"/>
    <w:rsid w:val="004E7D19"/>
    <w:rsid w:val="004F0472"/>
    <w:rsid w:val="004F0F6B"/>
    <w:rsid w:val="004F3F81"/>
    <w:rsid w:val="004F5B7F"/>
    <w:rsid w:val="004F5F4A"/>
    <w:rsid w:val="004F7AEF"/>
    <w:rsid w:val="00506DC6"/>
    <w:rsid w:val="00511A82"/>
    <w:rsid w:val="00513663"/>
    <w:rsid w:val="00520472"/>
    <w:rsid w:val="00523172"/>
    <w:rsid w:val="005240CB"/>
    <w:rsid w:val="0052509F"/>
    <w:rsid w:val="00533B59"/>
    <w:rsid w:val="00535603"/>
    <w:rsid w:val="00535977"/>
    <w:rsid w:val="005408CA"/>
    <w:rsid w:val="00540CD1"/>
    <w:rsid w:val="005417B3"/>
    <w:rsid w:val="0054195A"/>
    <w:rsid w:val="005467EB"/>
    <w:rsid w:val="00560EF8"/>
    <w:rsid w:val="00564216"/>
    <w:rsid w:val="005643C4"/>
    <w:rsid w:val="00565758"/>
    <w:rsid w:val="0057315E"/>
    <w:rsid w:val="00573FC9"/>
    <w:rsid w:val="00574D12"/>
    <w:rsid w:val="00577227"/>
    <w:rsid w:val="005778FF"/>
    <w:rsid w:val="005821C1"/>
    <w:rsid w:val="005864A3"/>
    <w:rsid w:val="00590D3A"/>
    <w:rsid w:val="005972C0"/>
    <w:rsid w:val="005A0E99"/>
    <w:rsid w:val="005A2247"/>
    <w:rsid w:val="005A5AAD"/>
    <w:rsid w:val="005B163B"/>
    <w:rsid w:val="005B5075"/>
    <w:rsid w:val="005C0063"/>
    <w:rsid w:val="005C089D"/>
    <w:rsid w:val="005C4D1E"/>
    <w:rsid w:val="005C5424"/>
    <w:rsid w:val="005D10B7"/>
    <w:rsid w:val="005D1537"/>
    <w:rsid w:val="005D3D0D"/>
    <w:rsid w:val="005D54D9"/>
    <w:rsid w:val="005E0205"/>
    <w:rsid w:val="005E5EBB"/>
    <w:rsid w:val="005E6F39"/>
    <w:rsid w:val="005F01CB"/>
    <w:rsid w:val="005F0BA7"/>
    <w:rsid w:val="005F6DC4"/>
    <w:rsid w:val="006030E8"/>
    <w:rsid w:val="00606C9E"/>
    <w:rsid w:val="00606EA9"/>
    <w:rsid w:val="006109B7"/>
    <w:rsid w:val="006139B3"/>
    <w:rsid w:val="00613F91"/>
    <w:rsid w:val="0061483F"/>
    <w:rsid w:val="00614D1C"/>
    <w:rsid w:val="00617DB9"/>
    <w:rsid w:val="00622DBB"/>
    <w:rsid w:val="006276E4"/>
    <w:rsid w:val="00632C44"/>
    <w:rsid w:val="00632CCA"/>
    <w:rsid w:val="006375C5"/>
    <w:rsid w:val="0064300F"/>
    <w:rsid w:val="00650326"/>
    <w:rsid w:val="006514E8"/>
    <w:rsid w:val="00652540"/>
    <w:rsid w:val="00652D1B"/>
    <w:rsid w:val="00653C75"/>
    <w:rsid w:val="00661321"/>
    <w:rsid w:val="00661C89"/>
    <w:rsid w:val="00673059"/>
    <w:rsid w:val="0067498B"/>
    <w:rsid w:val="0068597E"/>
    <w:rsid w:val="0068769E"/>
    <w:rsid w:val="00690167"/>
    <w:rsid w:val="00691A95"/>
    <w:rsid w:val="00691A97"/>
    <w:rsid w:val="0069450A"/>
    <w:rsid w:val="00696B36"/>
    <w:rsid w:val="006A37EA"/>
    <w:rsid w:val="006A3E62"/>
    <w:rsid w:val="006B21D3"/>
    <w:rsid w:val="006B2628"/>
    <w:rsid w:val="006B4802"/>
    <w:rsid w:val="006C0D84"/>
    <w:rsid w:val="006D4FE1"/>
    <w:rsid w:val="006D5FD2"/>
    <w:rsid w:val="006D7719"/>
    <w:rsid w:val="006E10F7"/>
    <w:rsid w:val="006E737A"/>
    <w:rsid w:val="006F0649"/>
    <w:rsid w:val="006F15A9"/>
    <w:rsid w:val="006F404A"/>
    <w:rsid w:val="006F4213"/>
    <w:rsid w:val="00704021"/>
    <w:rsid w:val="00705AE6"/>
    <w:rsid w:val="00725361"/>
    <w:rsid w:val="00726800"/>
    <w:rsid w:val="00735D06"/>
    <w:rsid w:val="00753316"/>
    <w:rsid w:val="00754DD3"/>
    <w:rsid w:val="00756CD8"/>
    <w:rsid w:val="00760C37"/>
    <w:rsid w:val="00764F66"/>
    <w:rsid w:val="00770172"/>
    <w:rsid w:val="007726E9"/>
    <w:rsid w:val="00775266"/>
    <w:rsid w:val="007757D6"/>
    <w:rsid w:val="00786F90"/>
    <w:rsid w:val="007939A8"/>
    <w:rsid w:val="007A03FC"/>
    <w:rsid w:val="007A1875"/>
    <w:rsid w:val="007A319D"/>
    <w:rsid w:val="007A3257"/>
    <w:rsid w:val="007A3D00"/>
    <w:rsid w:val="007B33ED"/>
    <w:rsid w:val="007B5821"/>
    <w:rsid w:val="007C20E2"/>
    <w:rsid w:val="007C319B"/>
    <w:rsid w:val="007D00F8"/>
    <w:rsid w:val="007D12BE"/>
    <w:rsid w:val="007D2FC5"/>
    <w:rsid w:val="007D58E8"/>
    <w:rsid w:val="007D74C5"/>
    <w:rsid w:val="007E061B"/>
    <w:rsid w:val="007E432E"/>
    <w:rsid w:val="0080137D"/>
    <w:rsid w:val="008028DF"/>
    <w:rsid w:val="00804C54"/>
    <w:rsid w:val="0081126C"/>
    <w:rsid w:val="00813A97"/>
    <w:rsid w:val="00813F60"/>
    <w:rsid w:val="00814001"/>
    <w:rsid w:val="00816B5F"/>
    <w:rsid w:val="00823763"/>
    <w:rsid w:val="0083034C"/>
    <w:rsid w:val="00832620"/>
    <w:rsid w:val="0083441B"/>
    <w:rsid w:val="00835971"/>
    <w:rsid w:val="008365AB"/>
    <w:rsid w:val="0084197A"/>
    <w:rsid w:val="0084308F"/>
    <w:rsid w:val="00844222"/>
    <w:rsid w:val="008457ED"/>
    <w:rsid w:val="00845995"/>
    <w:rsid w:val="00850471"/>
    <w:rsid w:val="00851C1E"/>
    <w:rsid w:val="00855670"/>
    <w:rsid w:val="0085594F"/>
    <w:rsid w:val="0086600D"/>
    <w:rsid w:val="00872DB5"/>
    <w:rsid w:val="00873991"/>
    <w:rsid w:val="00885BB8"/>
    <w:rsid w:val="00887570"/>
    <w:rsid w:val="008972C7"/>
    <w:rsid w:val="00897A37"/>
    <w:rsid w:val="008A005C"/>
    <w:rsid w:val="008A02E3"/>
    <w:rsid w:val="008A247A"/>
    <w:rsid w:val="008A3880"/>
    <w:rsid w:val="008B2DA2"/>
    <w:rsid w:val="008C19A0"/>
    <w:rsid w:val="008C3798"/>
    <w:rsid w:val="008D7CF1"/>
    <w:rsid w:val="008D7DC9"/>
    <w:rsid w:val="008F0CA5"/>
    <w:rsid w:val="008F6024"/>
    <w:rsid w:val="008F7D43"/>
    <w:rsid w:val="00900CD3"/>
    <w:rsid w:val="00911381"/>
    <w:rsid w:val="00913A0F"/>
    <w:rsid w:val="00920B8B"/>
    <w:rsid w:val="00920BBF"/>
    <w:rsid w:val="00920C34"/>
    <w:rsid w:val="00921178"/>
    <w:rsid w:val="00923C5C"/>
    <w:rsid w:val="00924ADC"/>
    <w:rsid w:val="00925958"/>
    <w:rsid w:val="00926366"/>
    <w:rsid w:val="00930272"/>
    <w:rsid w:val="0093149A"/>
    <w:rsid w:val="00931D0F"/>
    <w:rsid w:val="00932DB3"/>
    <w:rsid w:val="0093406F"/>
    <w:rsid w:val="009355AF"/>
    <w:rsid w:val="009359AA"/>
    <w:rsid w:val="0093680C"/>
    <w:rsid w:val="00937022"/>
    <w:rsid w:val="009371C1"/>
    <w:rsid w:val="00941FCE"/>
    <w:rsid w:val="009427E5"/>
    <w:rsid w:val="0094548B"/>
    <w:rsid w:val="0095655F"/>
    <w:rsid w:val="009612A2"/>
    <w:rsid w:val="00965A30"/>
    <w:rsid w:val="00991571"/>
    <w:rsid w:val="009949CD"/>
    <w:rsid w:val="009A028C"/>
    <w:rsid w:val="009A2423"/>
    <w:rsid w:val="009A4885"/>
    <w:rsid w:val="009B4674"/>
    <w:rsid w:val="009B5DE6"/>
    <w:rsid w:val="009B5EC9"/>
    <w:rsid w:val="009B6313"/>
    <w:rsid w:val="009B6954"/>
    <w:rsid w:val="009C0070"/>
    <w:rsid w:val="009C0429"/>
    <w:rsid w:val="009C2295"/>
    <w:rsid w:val="009D0846"/>
    <w:rsid w:val="009D2F2E"/>
    <w:rsid w:val="009D76B3"/>
    <w:rsid w:val="009E12DA"/>
    <w:rsid w:val="009E30F2"/>
    <w:rsid w:val="009E662E"/>
    <w:rsid w:val="009F3A4F"/>
    <w:rsid w:val="009F6551"/>
    <w:rsid w:val="00A00293"/>
    <w:rsid w:val="00A051CB"/>
    <w:rsid w:val="00A07476"/>
    <w:rsid w:val="00A1192D"/>
    <w:rsid w:val="00A15920"/>
    <w:rsid w:val="00A15927"/>
    <w:rsid w:val="00A16BEA"/>
    <w:rsid w:val="00A26200"/>
    <w:rsid w:val="00A26814"/>
    <w:rsid w:val="00A31085"/>
    <w:rsid w:val="00A34DCF"/>
    <w:rsid w:val="00A43CE0"/>
    <w:rsid w:val="00A46231"/>
    <w:rsid w:val="00A510EC"/>
    <w:rsid w:val="00A53CF2"/>
    <w:rsid w:val="00A55A7E"/>
    <w:rsid w:val="00A575AB"/>
    <w:rsid w:val="00A617A2"/>
    <w:rsid w:val="00A63CD9"/>
    <w:rsid w:val="00A6487B"/>
    <w:rsid w:val="00A65A32"/>
    <w:rsid w:val="00A667CA"/>
    <w:rsid w:val="00A67E06"/>
    <w:rsid w:val="00A76D38"/>
    <w:rsid w:val="00A81747"/>
    <w:rsid w:val="00A82662"/>
    <w:rsid w:val="00A86042"/>
    <w:rsid w:val="00A87AFB"/>
    <w:rsid w:val="00A87B66"/>
    <w:rsid w:val="00A92777"/>
    <w:rsid w:val="00A9539B"/>
    <w:rsid w:val="00A979F4"/>
    <w:rsid w:val="00AB2951"/>
    <w:rsid w:val="00AB5D6A"/>
    <w:rsid w:val="00AB6771"/>
    <w:rsid w:val="00AC4EAD"/>
    <w:rsid w:val="00AC6629"/>
    <w:rsid w:val="00AD31F1"/>
    <w:rsid w:val="00AD5AFD"/>
    <w:rsid w:val="00AD6AF3"/>
    <w:rsid w:val="00AD7665"/>
    <w:rsid w:val="00AD7881"/>
    <w:rsid w:val="00AE0431"/>
    <w:rsid w:val="00AE0AB3"/>
    <w:rsid w:val="00AE0D12"/>
    <w:rsid w:val="00AE15BA"/>
    <w:rsid w:val="00AE35A6"/>
    <w:rsid w:val="00AE39FC"/>
    <w:rsid w:val="00AE3B97"/>
    <w:rsid w:val="00AE404D"/>
    <w:rsid w:val="00AF253E"/>
    <w:rsid w:val="00AF3BF3"/>
    <w:rsid w:val="00AF41EF"/>
    <w:rsid w:val="00B028FB"/>
    <w:rsid w:val="00B10334"/>
    <w:rsid w:val="00B11826"/>
    <w:rsid w:val="00B12A7A"/>
    <w:rsid w:val="00B17984"/>
    <w:rsid w:val="00B2601F"/>
    <w:rsid w:val="00B27508"/>
    <w:rsid w:val="00B309CE"/>
    <w:rsid w:val="00B361E8"/>
    <w:rsid w:val="00B472B6"/>
    <w:rsid w:val="00B47760"/>
    <w:rsid w:val="00B50FE1"/>
    <w:rsid w:val="00B515B7"/>
    <w:rsid w:val="00B52A49"/>
    <w:rsid w:val="00B52CED"/>
    <w:rsid w:val="00B64334"/>
    <w:rsid w:val="00B7082F"/>
    <w:rsid w:val="00B713AA"/>
    <w:rsid w:val="00B73775"/>
    <w:rsid w:val="00B73C2F"/>
    <w:rsid w:val="00B74DC3"/>
    <w:rsid w:val="00B7735B"/>
    <w:rsid w:val="00B832AA"/>
    <w:rsid w:val="00B86DBE"/>
    <w:rsid w:val="00B92747"/>
    <w:rsid w:val="00BA0900"/>
    <w:rsid w:val="00BA1504"/>
    <w:rsid w:val="00BA1796"/>
    <w:rsid w:val="00BA4CBB"/>
    <w:rsid w:val="00BA7E91"/>
    <w:rsid w:val="00BB4A37"/>
    <w:rsid w:val="00BC1583"/>
    <w:rsid w:val="00BC398A"/>
    <w:rsid w:val="00BC4948"/>
    <w:rsid w:val="00BE210B"/>
    <w:rsid w:val="00BF4D03"/>
    <w:rsid w:val="00BF6EFA"/>
    <w:rsid w:val="00C03703"/>
    <w:rsid w:val="00C03FFC"/>
    <w:rsid w:val="00C042B1"/>
    <w:rsid w:val="00C04DDD"/>
    <w:rsid w:val="00C067E6"/>
    <w:rsid w:val="00C23D2D"/>
    <w:rsid w:val="00C256CE"/>
    <w:rsid w:val="00C26DB8"/>
    <w:rsid w:val="00C30F94"/>
    <w:rsid w:val="00C41237"/>
    <w:rsid w:val="00C463FA"/>
    <w:rsid w:val="00C4798F"/>
    <w:rsid w:val="00C47BC0"/>
    <w:rsid w:val="00C54CEE"/>
    <w:rsid w:val="00C60B32"/>
    <w:rsid w:val="00C66155"/>
    <w:rsid w:val="00C73027"/>
    <w:rsid w:val="00C731B9"/>
    <w:rsid w:val="00C8149F"/>
    <w:rsid w:val="00C83AF1"/>
    <w:rsid w:val="00C87449"/>
    <w:rsid w:val="00C90043"/>
    <w:rsid w:val="00C90CCD"/>
    <w:rsid w:val="00CA03FD"/>
    <w:rsid w:val="00CA1580"/>
    <w:rsid w:val="00CA375A"/>
    <w:rsid w:val="00CA427D"/>
    <w:rsid w:val="00CB47F4"/>
    <w:rsid w:val="00CC3079"/>
    <w:rsid w:val="00CC77F1"/>
    <w:rsid w:val="00CD2EB7"/>
    <w:rsid w:val="00CD7125"/>
    <w:rsid w:val="00CE0676"/>
    <w:rsid w:val="00CE1D5D"/>
    <w:rsid w:val="00CE1DFB"/>
    <w:rsid w:val="00CE32AE"/>
    <w:rsid w:val="00CE546C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BD0"/>
    <w:rsid w:val="00D1600A"/>
    <w:rsid w:val="00D214FE"/>
    <w:rsid w:val="00D24C61"/>
    <w:rsid w:val="00D311F5"/>
    <w:rsid w:val="00D31ADF"/>
    <w:rsid w:val="00D36A44"/>
    <w:rsid w:val="00D4585C"/>
    <w:rsid w:val="00D46E66"/>
    <w:rsid w:val="00D55EFF"/>
    <w:rsid w:val="00D57510"/>
    <w:rsid w:val="00D637F7"/>
    <w:rsid w:val="00D6493A"/>
    <w:rsid w:val="00D71225"/>
    <w:rsid w:val="00D71F62"/>
    <w:rsid w:val="00D76AF6"/>
    <w:rsid w:val="00D810B4"/>
    <w:rsid w:val="00D82C53"/>
    <w:rsid w:val="00D859C8"/>
    <w:rsid w:val="00D8798F"/>
    <w:rsid w:val="00DA1EF2"/>
    <w:rsid w:val="00DA2E0F"/>
    <w:rsid w:val="00DA3DFC"/>
    <w:rsid w:val="00DA635B"/>
    <w:rsid w:val="00DA71A0"/>
    <w:rsid w:val="00DA75A1"/>
    <w:rsid w:val="00DA77D5"/>
    <w:rsid w:val="00DB5707"/>
    <w:rsid w:val="00DB64EA"/>
    <w:rsid w:val="00DB6CDB"/>
    <w:rsid w:val="00DC15EE"/>
    <w:rsid w:val="00DC2750"/>
    <w:rsid w:val="00DC30C4"/>
    <w:rsid w:val="00DC4644"/>
    <w:rsid w:val="00DC56F3"/>
    <w:rsid w:val="00DC5B61"/>
    <w:rsid w:val="00DC7462"/>
    <w:rsid w:val="00DC780E"/>
    <w:rsid w:val="00DC7A25"/>
    <w:rsid w:val="00DD70EC"/>
    <w:rsid w:val="00DF5075"/>
    <w:rsid w:val="00E04936"/>
    <w:rsid w:val="00E063AF"/>
    <w:rsid w:val="00E11D4C"/>
    <w:rsid w:val="00E12560"/>
    <w:rsid w:val="00E149FB"/>
    <w:rsid w:val="00E17890"/>
    <w:rsid w:val="00E17CC5"/>
    <w:rsid w:val="00E21333"/>
    <w:rsid w:val="00E242C9"/>
    <w:rsid w:val="00E36611"/>
    <w:rsid w:val="00E4099A"/>
    <w:rsid w:val="00E44A92"/>
    <w:rsid w:val="00E4617B"/>
    <w:rsid w:val="00E47B00"/>
    <w:rsid w:val="00E50A84"/>
    <w:rsid w:val="00E6126E"/>
    <w:rsid w:val="00E62B7A"/>
    <w:rsid w:val="00E63829"/>
    <w:rsid w:val="00E650A4"/>
    <w:rsid w:val="00E66ADE"/>
    <w:rsid w:val="00E72F21"/>
    <w:rsid w:val="00E74045"/>
    <w:rsid w:val="00E76F4B"/>
    <w:rsid w:val="00E82A8E"/>
    <w:rsid w:val="00E84E90"/>
    <w:rsid w:val="00E85135"/>
    <w:rsid w:val="00E866E9"/>
    <w:rsid w:val="00E87163"/>
    <w:rsid w:val="00E9189E"/>
    <w:rsid w:val="00E93C5B"/>
    <w:rsid w:val="00E97F03"/>
    <w:rsid w:val="00EA1104"/>
    <w:rsid w:val="00EA1334"/>
    <w:rsid w:val="00EA2B3F"/>
    <w:rsid w:val="00EA4D85"/>
    <w:rsid w:val="00EA5DC7"/>
    <w:rsid w:val="00EB0DCA"/>
    <w:rsid w:val="00EB19F5"/>
    <w:rsid w:val="00EB5CAF"/>
    <w:rsid w:val="00EB5FC6"/>
    <w:rsid w:val="00EC0A96"/>
    <w:rsid w:val="00EC10D9"/>
    <w:rsid w:val="00EC5772"/>
    <w:rsid w:val="00EC7D4E"/>
    <w:rsid w:val="00ED135D"/>
    <w:rsid w:val="00ED66C5"/>
    <w:rsid w:val="00EE06BC"/>
    <w:rsid w:val="00EE1D8C"/>
    <w:rsid w:val="00EE3D2F"/>
    <w:rsid w:val="00EE71AA"/>
    <w:rsid w:val="00EF0362"/>
    <w:rsid w:val="00EF0BC5"/>
    <w:rsid w:val="00F00BF1"/>
    <w:rsid w:val="00F12706"/>
    <w:rsid w:val="00F1719D"/>
    <w:rsid w:val="00F17F14"/>
    <w:rsid w:val="00F30CC1"/>
    <w:rsid w:val="00F4451B"/>
    <w:rsid w:val="00F537F2"/>
    <w:rsid w:val="00F56B11"/>
    <w:rsid w:val="00F60271"/>
    <w:rsid w:val="00F61159"/>
    <w:rsid w:val="00F624F1"/>
    <w:rsid w:val="00F94F72"/>
    <w:rsid w:val="00F973DB"/>
    <w:rsid w:val="00FA0A92"/>
    <w:rsid w:val="00FA3658"/>
    <w:rsid w:val="00FA5582"/>
    <w:rsid w:val="00FA6A93"/>
    <w:rsid w:val="00FA74C6"/>
    <w:rsid w:val="00FB476F"/>
    <w:rsid w:val="00FB47B7"/>
    <w:rsid w:val="00FC613B"/>
    <w:rsid w:val="00FD321D"/>
    <w:rsid w:val="00FD5F98"/>
    <w:rsid w:val="00FE0D7D"/>
    <w:rsid w:val="00FE1BCA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basedOn w:val="a0"/>
    <w:uiPriority w:val="99"/>
    <w:unhideWhenUsed/>
    <w:rsid w:val="006F15A9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6F15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4-&#1088;&#1072;&#1089;&#1093;.xlsx" TargetMode="External"/><Relationship Id="rId18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7-&#1088;&#1087;&#1088;.xlsx" TargetMode="External"/><Relationship Id="rId26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11-&#1052;&#1041;&#1058;%20&#1087;&#1086;%20&#1087;&#1086;&#1089;&#1077;&#1083;&#1077;&#1085;&#1080;&#1103;&#1084;.xls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10-&#1094;&#1077;&#1083;%20&#1087;&#1083;.xlsx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3-&#1052;&#1041;&#1058;%20&#1080;&#1079;%20&#1087;&#1086;&#1089;&#1077;&#1083;&#1077;&#1085;&#1080;&#1081;.xls" TargetMode="External"/><Relationship Id="rId17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6-&#1074;&#1077;&#1076;%20&#1087;&#1083;.xlsx" TargetMode="External"/><Relationship Id="rId25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6-&#1074;&#1077;&#1076;%20&#1087;&#1083;.xlsx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5-&#1074;&#1077;&#1076;.xlsx" TargetMode="External"/><Relationship Id="rId20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9-&#1094;&#1077;&#1083;.xlsx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2-&#1052;&#1077;&#1078;.&#1090;&#1088;&#1072;&#1085;&#1089;&#1092;&#1077;&#1088;&#1090;&#1099;%20&#1052;&#1056;.xls" TargetMode="External"/><Relationship Id="rId24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5-&#1074;&#1077;&#1076;.xlsx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6-&#1074;&#1077;&#1076;%20&#1087;&#1083;.xlsx" TargetMode="External"/><Relationship Id="rId23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6-&#1074;&#1077;&#1076;%20&#1087;&#1083;.xlsx" TargetMode="External"/><Relationship Id="rId28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13-&#1047;&#1072;&#1080;&#1084;&#1089;&#1090;&#1074;&#1086;&#1074;&#1072;&#1085;&#1080;&#1103;.xls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1-&#1085;&#1086;&#1088;&#1084;&#1072;&#1090;&#1080;&#1074;&#1099;%20&#1086;&#1090;&#1095;.doc" TargetMode="External"/><Relationship Id="rId19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8-&#1088;&#1087;&#1088;%20&#1087;&#1083;.xlsx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5-&#1074;&#1077;&#1076;.xlsx" TargetMode="External"/><Relationship Id="rId22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5-&#1074;&#1077;&#1076;.xlsx" TargetMode="External"/><Relationship Id="rId27" Type="http://schemas.openxmlformats.org/officeDocument/2006/relationships/hyperlink" Target="file:///C:\Users\User\Desktop\&#1044;&#1054;&#1050;&#1059;&#1052;&#1045;&#1053;&#1058;&#1040;&#1062;&#1048;&#1071;%20&#1046;&#1056;&#1057;\&#1056;&#1045;&#1064;&#1045;&#1053;&#1048;&#1071;%202013-2023\2023\45%205%20&#1044;&#1045;&#1050;&#1040;&#1041;&#1056;&#1071;%20(15,00%20-)\71%20&#1056;&#1045;&#1064;&#1045;&#1053;&#1048;&#1045;%20&#1054;%20&#1041;&#1070;&#1044;&#1046;&#1045;&#1058;&#1045;%202024%20&#1052;&#1048;&#1058;&#1056;&#1059;&#1064;&#1050;&#1048;&#1053;&#1040;%20&#1054;&#1050;&#1054;&#1053;&#1063;&#1040;&#1058;&#1045;&#1051;&#1068;&#1053;&#1067;&#1049;%20&#1042;&#1040;&#1056;&#1048;&#1040;&#1053;&#1058;\12-&#1080;&#1089;&#1090;&#1086;&#1095;.xls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87880-03A7-4437-A0CB-5545DC69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4061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3</cp:revision>
  <cp:lastPrinted>2023-12-04T08:22:00Z</cp:lastPrinted>
  <dcterms:created xsi:type="dcterms:W3CDTF">2023-12-05T07:11:00Z</dcterms:created>
  <dcterms:modified xsi:type="dcterms:W3CDTF">2023-12-05T14:27:00Z</dcterms:modified>
</cp:coreProperties>
</file>